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ackground w:color="FFFFFF"/>
  <w:body>
    <w:p>
      <w:pPr>
        <w:pStyle w:val="Normal"/>
        <w:rPr/>
      </w:pPr>
      <w:r>
        <w:rPr/>
      </w:r>
    </w:p>
    <w:p>
      <w:pPr>
        <w:pStyle w:val="Normal"/>
        <w:spacing w:lineRule="auto" w:line="312" w:before="0" w:after="113"/>
        <w:rPr>
          <w:rFonts w:cs="Arial Narrow" w:ascii="Arial Narrow" w:hAnsi="Arial Narrow"/>
          <w:color w:val="333333"/>
          <w:sz w:val="22"/>
          <w:szCs w:val="22"/>
        </w:rPr>
      </w:pPr>
      <w:r>
        <w:rPr>
          <w:rFonts w:cs="Arial Narrow" w:ascii="Arial Narrow" w:hAnsi="Arial Narrow"/>
          <w:color w:val="333333"/>
          <w:sz w:val="22"/>
          <w:szCs w:val="22"/>
        </w:rPr>
        <w:t>Beispiel für eine Begriffserklärung:</w:t>
      </w:r>
    </w:p>
    <w:p>
      <w:pPr>
        <w:pStyle w:val="Normal"/>
        <w:spacing w:lineRule="auto" w:line="312" w:before="0" w:after="113"/>
        <w:rPr>
          <w:rFonts w:cs="Arial Narrow" w:ascii="Arial Narrow" w:hAnsi="Arial Narrow"/>
          <w:color w:val="333333"/>
          <w:sz w:val="22"/>
          <w:szCs w:val="22"/>
        </w:rPr>
      </w:pPr>
      <w:r>
        <w:rPr>
          <w:rFonts w:cs="Arial Narrow" w:ascii="Arial Narrow" w:hAnsi="Arial Narrow"/>
          <w:color w:val="333333"/>
          <w:sz w:val="22"/>
          <w:szCs w:val="22"/>
        </w:rPr>
      </w:r>
    </w:p>
    <w:tbl>
      <w:tblPr>
        <w:jc w:val="left"/>
        <w:tblInd w:w="55" w:type="dxa"/>
        <w:tblBorders>
          <w:top w:val="nil"/>
          <w:left w:val="nil"/>
          <w:bottom w:val="nil"/>
          <w:insideH w:val="nil"/>
          <w:right w:val="nil"/>
          <w:insideV w:val="nil"/>
        </w:tblBorders>
        <w:tblCellMar>
          <w:top w:w="55" w:type="dxa"/>
          <w:left w:w="55" w:type="dxa"/>
          <w:bottom w:w="55" w:type="dxa"/>
          <w:right w:w="55" w:type="dxa"/>
        </w:tblCellMar>
      </w:tblPr>
      <w:tblGrid>
        <w:gridCol w:w="9577"/>
        <w:gridCol w:w="5000"/>
      </w:tblGrid>
      <w:tr>
        <w:trPr>
          <w:cantSplit w:val="false"/>
        </w:trPr>
        <w:tc>
          <w:tcPr>
            <w:tcW w:w="9577" w:type="dxa"/>
            <w:tcBorders>
              <w:top w:val="nil"/>
              <w:left w:val="nil"/>
              <w:bottom w:val="nil"/>
              <w:insideH w:val="nil"/>
              <w:right w:val="nil"/>
              <w:insideV w:val="nil"/>
            </w:tcBorders>
            <w:shd w:fill="auto" w:val="clear"/>
          </w:tcPr>
          <w:p>
            <w:pPr>
              <w:pStyle w:val="Normal"/>
              <w:spacing w:lineRule="auto" w:line="312" w:before="0" w:after="113"/>
              <w:rPr>
                <w:rFonts w:cs="Arial Narrow" w:ascii="Arial Narrow" w:hAnsi="Arial Narrow"/>
                <w:color w:val="4C4C4C"/>
                <w:sz w:val="52"/>
                <w:szCs w:val="52"/>
              </w:rPr>
            </w:pPr>
            <w:r>
              <w:rPr>
                <w:rFonts w:cs="Arial Narrow" w:ascii="Arial Narrow" w:hAnsi="Arial Narrow"/>
                <w:color w:val="4C4C4C"/>
                <w:sz w:val="52"/>
                <w:szCs w:val="52"/>
              </w:rPr>
              <w:t>Feierabendziegel</w:t>
            </w:r>
          </w:p>
        </w:tc>
        <w:tc>
          <w:tcPr>
            <w:tcW w:w="5000" w:type="dxa"/>
            <w:tcBorders>
              <w:top w:val="nil"/>
              <w:left w:val="nil"/>
              <w:bottom w:val="nil"/>
              <w:insideH w:val="nil"/>
              <w:right w:val="nil"/>
              <w:insideV w:val="nil"/>
            </w:tcBorders>
            <w:shd w:fill="auto" w:val="clear"/>
          </w:tcPr>
          <w:p>
            <w:pPr>
              <w:pStyle w:val="Normal"/>
              <w:snapToGrid w:val="false"/>
              <w:spacing w:lineRule="auto" w:line="312" w:before="0" w:after="113"/>
              <w:rPr>
                <w:rFonts w:eastAsia="Arial Unicode MS" w:cs="Arial Narrow" w:ascii="Arial Narrow" w:hAnsi="Arial Narrow"/>
                <w:color w:val="333333"/>
                <w:sz w:val="22"/>
                <w:szCs w:val="22"/>
                <w:lang w:val="de-DE" w:eastAsia="zh-CN" w:bidi="hi-IN"/>
              </w:rPr>
            </w:pPr>
            <w:r>
              <w:rPr>
                <w:rFonts w:eastAsia="Arial Unicode MS" w:cs="Arial Narrow" w:ascii="Arial Narrow" w:hAnsi="Arial Narrow"/>
                <w:color w:val="333333"/>
                <w:sz w:val="22"/>
                <w:szCs w:val="22"/>
                <w:lang w:val="de-DE" w:eastAsia="zh-CN" w:bidi="hi-IN"/>
              </w:rPr>
              <w:t>Rossner, Christiane: Was ist ein Feierabendziegel?</w:t>
              <w:br/>
              <w:t>In: MONUMENTE – Magazin für Denkmalkultur in</w:t>
              <w:br/>
              <w:t>Deutschland, 2015, Heft 1, S. 29</w:t>
            </w:r>
          </w:p>
        </w:tc>
      </w:tr>
      <w:tr>
        <w:trPr>
          <w:cantSplit w:val="false"/>
        </w:trPr>
        <w:tc>
          <w:tcPr>
            <w:tcW w:w="9577" w:type="dxa"/>
            <w:tcBorders>
              <w:top w:val="nil"/>
              <w:left w:val="nil"/>
              <w:bottom w:val="nil"/>
              <w:insideH w:val="nil"/>
              <w:right w:val="nil"/>
              <w:insideV w:val="nil"/>
            </w:tcBorders>
            <w:shd w:fill="auto" w:val="clear"/>
          </w:tcPr>
          <w:p>
            <w:pPr>
              <w:pStyle w:val="TabellenInhalt"/>
              <w:snapToGrid w:val="false"/>
              <w:spacing w:lineRule="auto" w:line="312" w:before="0" w:after="113"/>
              <w:rPr>
                <w:rFonts w:cs="Arial Narrow" w:ascii="Arial Narrow" w:hAnsi="Arial Narrow"/>
                <w:color w:val="333333"/>
                <w:sz w:val="22"/>
                <w:szCs w:val="22"/>
              </w:rPr>
            </w:pPr>
            <w:r>
              <w:rPr>
                <w:rFonts w:cs="Arial Narrow" w:ascii="Arial Narrow" w:hAnsi="Arial Narrow"/>
                <w:color w:val="333333"/>
                <w:sz w:val="22"/>
                <w:szCs w:val="22"/>
              </w:rPr>
              <w:t>F</w:t>
              <w:pict>
                <v:line id="shape_0" from="122.2pt,46pt" to="546.85pt,46.35pt" stroked="t" style="position:absolute">
                  <v:stroke color="#ff3366" weight="9360" joinstyle="round" endcap="flat"/>
                  <v:fill on="false" detectmouseclick="t"/>
                </v:line>
              </w:pict>
              <w:pict>
                <v:line id="shape_0" from="98.3pt,13pt" to="596.2pt,13.45pt" stroked="t" style="position:absolute">
                  <v:stroke color="#ff3366" weight="9000" joinstyle="round" endcap="flat"/>
                  <v:fill on="false" detectmouseclick="t"/>
                </v:line>
              </w:pict>
              <w:pict>
                <v:line id="shape_0" from="16.9pt,28.75pt" to="561.1pt,30.25pt" stroked="t" style="position:absolute">
                  <v:stroke color="#ff3366" weight="9360" joinstyle="round" endcap="flat"/>
                  <v:fill on="false" detectmouseclick="t"/>
                </v:line>
              </w:pict>
            </w:r>
            <w:r>
              <w:rPr>
                <w:rFonts w:cs="Arial Narrow" w:ascii="Arial Narrow" w:hAnsi="Arial Narrow"/>
                <w:color w:val="333333"/>
                <w:sz w:val="22"/>
                <w:szCs w:val="22"/>
              </w:rPr>
              <w:t xml:space="preserve">eierabendziegel ist ein Sammelbegriff für Ziegel, die mit Inschriften, Zeichnungen und Symbolen versehen sind. </w:t>
              <w:br/>
              <w:t xml:space="preserve">Die Tradition der Verzierung ist so alt wie das Handwerk selbst. </w:t>
              <w:br/>
              <w:t>In Deutschland gilt als bislang ältestes erhaltenes Beispiel ein Dachziegel aus dem Jahr 1453, der in Bad Herrenalb in Württemberg gefunden wurde.</w:t>
            </w:r>
          </w:p>
          <w:p>
            <w:pPr>
              <w:pStyle w:val="TabellenInhalt"/>
              <w:snapToGrid w:val="false"/>
              <w:spacing w:lineRule="auto" w:line="312" w:before="0" w:after="113"/>
              <w:rPr>
                <w:rFonts w:cs="Arial Narrow" w:ascii="Arial Narrow" w:hAnsi="Arial Narrow"/>
                <w:color w:val="333333"/>
                <w:sz w:val="22"/>
                <w:szCs w:val="22"/>
              </w:rPr>
            </w:pPr>
            <w:r>
              <w:rPr>
                <w:rFonts w:cs="Arial Narrow" w:ascii="Arial Narrow" w:hAnsi="Arial Narrow"/>
                <w:color w:val="333333"/>
                <w:sz w:val="22"/>
                <w:szCs w:val="22"/>
              </w:rPr>
              <w:t>D</w:t>
              <w:pict>
                <v:line id="shape_0" from="-0.25pt,61.5pt" to="539.75pt,61.7pt" stroked="t" style="position:absolute">
                  <v:stroke color="#ff3366" weight="9360" joinstyle="round" endcap="flat"/>
                  <v:fill on="false" detectmouseclick="t"/>
                </v:line>
              </w:pict>
              <w:pict>
                <v:line id="shape_0" from="114.05pt,12.9pt" to="584.5pt,13.7pt" stroked="t" style="position:absolute;flip:y">
                  <v:stroke color="#ff3366" weight="9360" joinstyle="round" endcap="flat"/>
                  <v:fill on="false" detectmouseclick="t"/>
                </v:line>
              </w:pict>
            </w:r>
            <w:r>
              <w:rPr>
                <w:rFonts w:cs="Arial Narrow" w:ascii="Arial Narrow" w:hAnsi="Arial Narrow"/>
                <w:color w:val="333333"/>
                <w:sz w:val="22"/>
                <w:szCs w:val="22"/>
              </w:rPr>
              <w:t xml:space="preserve">ie Bezeichnung ist aus der Vorstellung entstanden, dass die hart arbeitenden Ziegler erst nach getaner Arbeit die Zeit fanden, Ziegel künstlerisch zu gestalten. So ritzten sie Dekore von einfachen Tierdarstellungen bis zu kunstvollen Szenen in die noch ungebrannte Tonmasse. Die Forschung fächert die Feierabendziegel heute in unterschiedliche Ziegeltypen auf: Schutzziegel, Inschriftenziegel und Zählziegel, wobei deren Bezeichnungen wiederum landschaftlich variieren. Bei den Schutzziegeln handelt es sich größtenteils um Dachziegel: </w:t>
              <w:br/>
              <w:t>Das schützende Dach eines Gebäudes sollte durch Symbole noch sicherer werden, so zum Beispiel mit Glücksbringernwie einer Sonne oder mit Unheil abwendenden wie dem Hahn, der vor Bränden bewahren sollte. Auf Inschriftenziegeln wurden Nachrichten gleich-sam als Dokumente hinterlassen: Es sind Notizen, Lohnberech-nungen und Sprüche zu lesen, wie etwa auf einem Exemplar aus Oberndorf an der Nahe: „wenn lieben eine Sünde währ, so währ sie nicht erschaffen, Friedrich Vollmer, Ziegler den 3. Juli 1833“. Mit sogenannten Heische-ziegeln forderten die Handwerker den Bauherrn zu Gaben auf, meist bei Richtfesten zu Trinkgeld: „ich mach den Ziegel hübsch und fein schieb auch gern ein Trengeld Ein“.</w:t>
            </w:r>
          </w:p>
          <w:p>
            <w:pPr>
              <w:pStyle w:val="TabellenInhalt"/>
              <w:snapToGrid w:val="false"/>
              <w:spacing w:lineRule="auto" w:line="312" w:before="0" w:after="113"/>
              <w:rPr>
                <w:rFonts w:cs="Arial Narrow" w:ascii="Arial Narrow" w:hAnsi="Arial Narrow"/>
                <w:color w:val="333333"/>
                <w:sz w:val="22"/>
                <w:szCs w:val="22"/>
              </w:rPr>
            </w:pPr>
            <w:r>
              <w:rPr>
                <w:rFonts w:cs="Arial Narrow" w:ascii="Arial Narrow" w:hAnsi="Arial Narrow"/>
                <w:color w:val="333333"/>
                <w:sz w:val="22"/>
                <w:szCs w:val="22"/>
              </w:rPr>
              <w:t>B</w:t>
              <w:pict>
                <v:line id="shape_0" from="211.25pt,27.95pt" to="539.25pt,30.15pt" stroked="t" style="position:absolute">
                  <v:stroke color="#ff3366" weight="9360" joinstyle="round" endcap="flat"/>
                  <v:fill on="false" detectmouseclick="t"/>
                </v:line>
              </w:pict>
              <w:pict>
                <v:line id="shape_0" from="150.1pt,79.9pt" to="553.5pt,79.9pt" stroked="t" style="position:absolute">
                  <v:stroke color="#ff3366" weight="9360" joinstyle="round" endcap="flat"/>
                  <v:fill on="false" detectmouseclick="t"/>
                </v:line>
              </w:pict>
            </w:r>
            <w:r>
              <w:rPr>
                <w:rFonts w:cs="Arial Narrow" w:ascii="Arial Narrow" w:hAnsi="Arial Narrow"/>
                <w:color w:val="333333"/>
                <w:sz w:val="22"/>
                <w:szCs w:val="22"/>
              </w:rPr>
              <w:t>is ins 19. Jahrhundert arbeiteten die Ziegler nur nach Auftrag und im Stücklohn. Damit war die Stückzahl der gestrichenen Ziegel maßgeblich, und entsprechende „Zählziegel“ wurden mit Zahlen, Buchstaben, Namenszügen oder Zeichnungen markiert. Die Arbeit der Ziegler war Teil eines festgefügten und saison-bedingten Ablaufs – Rohstoff</w:t>
              <w:softHyphen/>
              <w:t xml:space="preserve">gewinnung, Tonaufbereitung, Formgebung, Trocknung und Brand – und dauerte in der Regel 33 Wochen, vom 23. März bis 11. November. Im Zuge der Industrialisierung verwendete man bevorzugt Stempel, die weitere Informationen wie Firmenname, Auszeich-nungen und Herstellungsjahr festhielten, womit dieses Zeugnis </w:t>
              <w:br/>
              <w:t>der Volkskunst verschwand.</w:t>
            </w:r>
          </w:p>
        </w:tc>
        <w:tc>
          <w:tcPr>
            <w:tcW w:w="5000" w:type="dxa"/>
            <w:tcBorders>
              <w:top w:val="nil"/>
              <w:left w:val="nil"/>
              <w:bottom w:val="nil"/>
              <w:insideH w:val="nil"/>
              <w:right w:val="nil"/>
              <w:insideV w:val="nil"/>
            </w:tcBorders>
            <w:shd w:fill="auto" w:val="clear"/>
          </w:tcPr>
          <w:p>
            <w:pPr>
              <w:pStyle w:val="TabellenInhalt"/>
              <w:snapToGrid w:val="false"/>
              <w:spacing w:lineRule="auto" w:line="312" w:before="0" w:after="113"/>
              <w:rPr>
                <w:rFonts w:eastAsia="Arial Unicode MS" w:cs="Arial Narrow" w:ascii="Arial Narrow" w:hAnsi="Arial Narrow"/>
                <w:color w:val="FF3366"/>
                <w:sz w:val="22"/>
                <w:szCs w:val="22"/>
                <w:lang w:val="de-DE" w:eastAsia="zh-CN" w:bidi="hi-IN"/>
              </w:rPr>
            </w:pPr>
            <w:r>
              <w:rPr>
                <w:rFonts w:eastAsia="Arial Unicode MS" w:cs="Arial Narrow" w:ascii="Arial Narrow" w:hAnsi="Arial Narrow"/>
                <w:color w:val="FF3366"/>
                <w:sz w:val="22"/>
                <w:szCs w:val="22"/>
                <w:lang w:val="de-DE" w:eastAsia="zh-CN" w:bidi="hi-IN"/>
              </w:rPr>
              <w:t>Begriffsinhalt (Beschreibung)</w:t>
              <w:br/>
              <w:t>Begriffsverwendung</w:t>
              <w:br/>
              <w:t>Begriffsursprung</w:t>
              <w:br/>
            </w:r>
          </w:p>
          <w:p>
            <w:pPr>
              <w:pStyle w:val="TabellenInhalt"/>
              <w:snapToGrid w:val="false"/>
              <w:spacing w:lineRule="auto" w:line="312" w:before="0" w:after="113"/>
              <w:rPr>
                <w:rFonts w:eastAsia="Arial Unicode MS" w:cs="Arial Narrow" w:ascii="Arial Narrow" w:hAnsi="Arial Narrow"/>
                <w:color w:val="FF3366"/>
                <w:sz w:val="22"/>
                <w:szCs w:val="22"/>
                <w:lang w:val="de-DE" w:eastAsia="zh-CN" w:bidi="hi-IN"/>
              </w:rPr>
            </w:pPr>
            <w:r>
              <w:rPr>
                <w:rFonts w:eastAsia="Arial Unicode MS" w:cs="Arial Narrow" w:ascii="Arial Narrow" w:hAnsi="Arial Narrow"/>
                <w:color w:val="FF3366"/>
                <w:sz w:val="22"/>
                <w:szCs w:val="22"/>
                <w:lang w:val="de-DE" w:eastAsia="zh-CN" w:bidi="hi-IN"/>
              </w:rPr>
              <w:t>Etymologie, Begriffsanlass</w:t>
              <w:br/>
              <w:br/>
              <w:br/>
              <w:t>Begriffsumfang – „i.w.S.“</w:t>
              <w:br/>
            </w:r>
          </w:p>
          <w:p>
            <w:pPr>
              <w:pStyle w:val="TabellenInhalt"/>
              <w:snapToGrid w:val="false"/>
              <w:spacing w:lineRule="auto" w:line="312" w:before="0" w:after="113"/>
              <w:rPr>
                <w:rFonts w:eastAsia="Arial Unicode MS" w:cs="Arial Narrow" w:ascii="Arial Narrow" w:hAnsi="Arial Narrow"/>
                <w:color w:val="FF3366"/>
                <w:sz w:val="22"/>
                <w:szCs w:val="22"/>
                <w:lang w:val="de-DE" w:eastAsia="zh-CN" w:bidi="hi-IN"/>
              </w:rPr>
            </w:pPr>
            <w:r>
              <w:rPr>
                <w:rFonts w:eastAsia="Arial Unicode MS" w:cs="Arial Narrow" w:ascii="Arial Narrow" w:hAnsi="Arial Narrow"/>
                <w:color w:val="FF3366"/>
                <w:sz w:val="22"/>
                <w:szCs w:val="22"/>
                <w:lang w:val="de-DE" w:eastAsia="zh-CN" w:bidi="hi-IN"/>
              </w:rPr>
              <w:br/>
              <w:br/>
            </w:r>
          </w:p>
          <w:p>
            <w:pPr>
              <w:pStyle w:val="TabellenInhalt"/>
              <w:snapToGrid w:val="false"/>
              <w:spacing w:lineRule="auto" w:line="312" w:before="0" w:after="113"/>
              <w:rPr>
                <w:rFonts w:eastAsia="Arial Unicode MS" w:cs="Arial Narrow" w:ascii="Arial Narrow" w:hAnsi="Arial Narrow"/>
                <w:color w:val="FF3366"/>
                <w:sz w:val="22"/>
                <w:szCs w:val="22"/>
                <w:lang w:val="de-DE" w:eastAsia="zh-CN" w:bidi="hi-IN"/>
              </w:rPr>
            </w:pPr>
            <w:r>
              <w:rPr>
                <w:rFonts w:eastAsia="Arial Unicode MS" w:cs="Arial Narrow" w:ascii="Arial Narrow" w:hAnsi="Arial Narrow"/>
                <w:color w:val="FF3366"/>
                <w:sz w:val="22"/>
                <w:szCs w:val="22"/>
                <w:lang w:val="de-DE" w:eastAsia="zh-CN" w:bidi="hi-IN"/>
              </w:rPr>
            </w:r>
          </w:p>
          <w:p>
            <w:pPr>
              <w:pStyle w:val="TabellenInhalt"/>
              <w:snapToGrid w:val="false"/>
              <w:spacing w:lineRule="auto" w:line="312" w:before="0" w:after="113"/>
              <w:rPr>
                <w:rFonts w:eastAsia="Arial Unicode MS" w:cs="Arial Narrow" w:ascii="Arial Narrow" w:hAnsi="Arial Narrow"/>
                <w:color w:val="FF3366"/>
                <w:sz w:val="22"/>
                <w:szCs w:val="22"/>
                <w:lang w:val="de-DE" w:eastAsia="zh-CN" w:bidi="hi-IN"/>
              </w:rPr>
            </w:pPr>
            <w:r>
              <w:rPr>
                <w:rFonts w:eastAsia="Arial Unicode MS" w:cs="Arial Narrow" w:ascii="Arial Narrow" w:hAnsi="Arial Narrow"/>
                <w:color w:val="FF3366"/>
                <w:sz w:val="22"/>
                <w:szCs w:val="22"/>
                <w:lang w:val="de-DE" w:eastAsia="zh-CN" w:bidi="hi-IN"/>
              </w:rPr>
              <w:br/>
            </w:r>
          </w:p>
          <w:p>
            <w:pPr>
              <w:pStyle w:val="TabellenInhalt"/>
              <w:snapToGrid w:val="false"/>
              <w:spacing w:lineRule="auto" w:line="312" w:before="0" w:after="113"/>
              <w:rPr>
                <w:rFonts w:eastAsia="Arial Unicode MS" w:cs="Arial Narrow" w:ascii="Arial Narrow" w:hAnsi="Arial Narrow"/>
                <w:color w:val="FF3366"/>
                <w:sz w:val="22"/>
                <w:szCs w:val="22"/>
                <w:lang w:val="de-DE" w:eastAsia="zh-CN" w:bidi="hi-IN"/>
              </w:rPr>
            </w:pPr>
            <w:r>
              <w:rPr>
                <w:rFonts w:eastAsia="Arial Unicode MS" w:cs="Arial Narrow" w:ascii="Arial Narrow" w:hAnsi="Arial Narrow"/>
                <w:color w:val="FF3366"/>
                <w:sz w:val="22"/>
                <w:szCs w:val="22"/>
                <w:lang w:val="de-DE" w:eastAsia="zh-CN" w:bidi="hi-IN"/>
              </w:rPr>
              <w:br/>
              <w:t>Begriffsumfang – „i.e.S.“</w:t>
              <w:br/>
              <w:br/>
              <w:br/>
              <w:t>Begriffsgeschichte</w:t>
            </w:r>
          </w:p>
        </w:tc>
      </w:tr>
    </w:tbl>
    <w:p>
      <w:pPr>
        <w:pStyle w:val="Normal"/>
        <w:pageBreakBefore w:val="false"/>
        <w:spacing w:lineRule="auto" w:line="312" w:before="0" w:after="113"/>
        <w:rPr>
          <w:rFonts w:cs="Arial Narrow" w:ascii="Arial Narrow" w:hAnsi="Arial Narrow"/>
          <w:color w:val="333333"/>
          <w:sz w:val="22"/>
          <w:szCs w:val="22"/>
        </w:rPr>
      </w:pPr>
      <w:r>
        <w:rPr>
          <w:rFonts w:cs="Arial Narrow" w:ascii="Arial Narrow" w:hAnsi="Arial Narrow"/>
          <w:color w:val="333333"/>
          <w:sz w:val="22"/>
          <w:szCs w:val="22"/>
        </w:rPr>
      </w:r>
    </w:p>
    <w:p>
      <w:pPr>
        <w:pStyle w:val="Normal"/>
        <w:spacing w:lineRule="auto" w:line="312" w:before="0" w:after="113"/>
        <w:rPr>
          <w:rFonts w:cs="Arial Narrow" w:ascii="Arial Narrow" w:hAnsi="Arial Narrow"/>
          <w:color w:val="333333"/>
          <w:sz w:val="22"/>
          <w:szCs w:val="22"/>
        </w:rPr>
      </w:pPr>
      <w:r>
        <w:rPr>
          <w:rFonts w:cs="Arial Narrow" w:ascii="Arial Narrow" w:hAnsi="Arial Narrow"/>
          <w:color w:val="333333"/>
          <w:sz w:val="22"/>
          <w:szCs w:val="22"/>
        </w:rPr>
        <w:t>Beispiel für eine Begriffserklärung:</w:t>
      </w:r>
    </w:p>
    <w:p>
      <w:pPr>
        <w:pStyle w:val="Normal"/>
        <w:spacing w:lineRule="auto" w:line="312" w:before="0" w:after="113"/>
        <w:rPr>
          <w:rFonts w:cs="Arial Narrow" w:ascii="Arial Narrow" w:hAnsi="Arial Narrow"/>
          <w:color w:val="333333"/>
          <w:sz w:val="22"/>
          <w:szCs w:val="22"/>
        </w:rPr>
      </w:pPr>
      <w:r>
        <w:rPr>
          <w:rFonts w:cs="Arial Narrow" w:ascii="Arial Narrow" w:hAnsi="Arial Narrow"/>
          <w:color w:val="333333"/>
          <w:sz w:val="22"/>
          <w:szCs w:val="22"/>
        </w:rPr>
      </w:r>
    </w:p>
    <w:tbl>
      <w:tblPr>
        <w:jc w:val="left"/>
        <w:tblInd w:w="55" w:type="dxa"/>
        <w:tblBorders>
          <w:top w:val="nil"/>
          <w:left w:val="nil"/>
          <w:bottom w:val="nil"/>
          <w:insideH w:val="nil"/>
          <w:right w:val="nil"/>
          <w:insideV w:val="nil"/>
        </w:tblBorders>
        <w:tblCellMar>
          <w:top w:w="55" w:type="dxa"/>
          <w:left w:w="55" w:type="dxa"/>
          <w:bottom w:w="55" w:type="dxa"/>
          <w:right w:w="55" w:type="dxa"/>
        </w:tblCellMar>
      </w:tblPr>
      <w:tblGrid>
        <w:gridCol w:w="9577"/>
        <w:gridCol w:w="5000"/>
      </w:tblGrid>
      <w:tr>
        <w:trPr>
          <w:cantSplit w:val="false"/>
        </w:trPr>
        <w:tc>
          <w:tcPr>
            <w:tcW w:w="9577" w:type="dxa"/>
            <w:tcBorders>
              <w:top w:val="nil"/>
              <w:left w:val="nil"/>
              <w:bottom w:val="nil"/>
              <w:insideH w:val="nil"/>
              <w:right w:val="nil"/>
              <w:insideV w:val="nil"/>
            </w:tcBorders>
            <w:shd w:fill="auto" w:val="clear"/>
          </w:tcPr>
          <w:p>
            <w:pPr>
              <w:pStyle w:val="Normal"/>
              <w:spacing w:lineRule="auto" w:line="312" w:before="0" w:after="113"/>
              <w:rPr>
                <w:rFonts w:eastAsia="Arial Unicode MS" w:cs="Arial Narrow" w:ascii="Arial Narrow" w:hAnsi="Arial Narrow"/>
                <w:color w:val="4C4C4C"/>
                <w:sz w:val="52"/>
                <w:szCs w:val="52"/>
                <w:lang w:val="de-DE" w:eastAsia="zh-CN" w:bidi="hi-IN"/>
              </w:rPr>
            </w:pPr>
            <w:r>
              <w:rPr>
                <w:rFonts w:eastAsia="Arial Unicode MS" w:cs="Arial Narrow" w:ascii="Arial Narrow" w:hAnsi="Arial Narrow"/>
                <w:color w:val="4C4C4C"/>
                <w:sz w:val="52"/>
                <w:szCs w:val="52"/>
                <w:lang w:val="de-DE" w:eastAsia="zh-CN" w:bidi="hi-IN"/>
              </w:rPr>
              <w:t>A</w:t>
              <w:pict>
                <v:line id="shape_0" from="-0.55pt,245.15pt" to="556.55pt,246.2pt" stroked="t" style="position:absolute">
                  <v:stroke color="#ff3366" weight="10800" joinstyle="round" endcap="flat"/>
                  <v:fill on="false" detectmouseclick="t"/>
                </v:line>
              </w:pict>
            </w:r>
            <w:r>
              <w:rPr>
                <w:rFonts w:eastAsia="Arial Unicode MS" w:cs="Arial Narrow" w:ascii="Arial Narrow" w:hAnsi="Arial Narrow"/>
                <w:color w:val="4C4C4C"/>
                <w:sz w:val="52"/>
                <w:szCs w:val="52"/>
                <w:lang w:val="de-DE" w:eastAsia="zh-CN" w:bidi="hi-IN"/>
              </w:rPr>
              <w:t>rabeske</w:t>
            </w:r>
          </w:p>
        </w:tc>
        <w:tc>
          <w:tcPr>
            <w:tcW w:w="5000" w:type="dxa"/>
            <w:tcBorders>
              <w:top w:val="nil"/>
              <w:left w:val="nil"/>
              <w:bottom w:val="nil"/>
              <w:insideH w:val="nil"/>
              <w:right w:val="nil"/>
              <w:insideV w:val="nil"/>
            </w:tcBorders>
            <w:shd w:fill="auto" w:val="clear"/>
          </w:tcPr>
          <w:p>
            <w:pPr>
              <w:pStyle w:val="TabellenInhalt"/>
              <w:snapToGrid w:val="false"/>
              <w:spacing w:lineRule="auto" w:line="312" w:before="0" w:after="113"/>
              <w:rPr>
                <w:rFonts w:eastAsia="Arial Unicode MS" w:cs="Arial Narrow" w:ascii="Arial Narrow" w:hAnsi="Arial Narrow"/>
                <w:color w:val="333333"/>
                <w:sz w:val="22"/>
                <w:szCs w:val="22"/>
                <w:lang w:val="de-DE" w:eastAsia="zh-CN" w:bidi="hi-IN"/>
              </w:rPr>
            </w:pPr>
            <w:r>
              <w:rPr>
                <w:rFonts w:eastAsia="Arial Unicode MS" w:cs="Arial Narrow" w:ascii="Arial Narrow" w:hAnsi="Arial Narrow"/>
                <w:color w:val="333333"/>
                <w:sz w:val="22"/>
                <w:szCs w:val="22"/>
                <w:lang w:val="de-DE" w:eastAsia="zh-CN" w:bidi="hi-IN"/>
              </w:rPr>
              <w:t>Ricker, Julia: Was ist eine Arabeske?</w:t>
              <w:br/>
              <w:t>In: MONUMENTE – Magazin für Denkmalkultur</w:t>
              <w:br/>
              <w:t>in Deutschland, 2015, Heft 2, S. 29</w:t>
            </w:r>
          </w:p>
        </w:tc>
      </w:tr>
      <w:tr>
        <w:trPr>
          <w:cantSplit w:val="false"/>
        </w:trPr>
        <w:tc>
          <w:tcPr>
            <w:tcW w:w="9577" w:type="dxa"/>
            <w:tcBorders>
              <w:top w:val="nil"/>
              <w:left w:val="nil"/>
              <w:bottom w:val="nil"/>
              <w:insideH w:val="nil"/>
              <w:right w:val="nil"/>
              <w:insideV w:val="nil"/>
            </w:tcBorders>
            <w:shd w:fill="auto" w:val="clear"/>
          </w:tcPr>
          <w:p>
            <w:pPr>
              <w:pStyle w:val="TabellenInhalt"/>
              <w:snapToGrid w:val="false"/>
              <w:spacing w:lineRule="auto" w:line="312" w:before="0" w:after="113"/>
              <w:rPr>
                <w:rFonts w:cs="Arial Narrow" w:ascii="Arial Narrow" w:hAnsi="Arial Narrow"/>
                <w:color w:val="333333"/>
                <w:sz w:val="22"/>
                <w:szCs w:val="22"/>
              </w:rPr>
            </w:pPr>
            <w:r>
              <w:rPr>
                <w:rFonts w:cs="Arial Narrow" w:ascii="Arial Narrow" w:hAnsi="Arial Narrow"/>
                <w:color w:val="333333"/>
                <w:sz w:val="22"/>
                <w:szCs w:val="22"/>
              </w:rPr>
              <w:t>D</w:t>
              <w:pict>
                <v:line id="shape_0" from="132.35pt,44.5pt" to="558.4pt,45.2pt" stroked="t" style="position:absolute">
                  <v:stroke color="#ff3366" weight="10800" joinstyle="round" endcap="flat"/>
                  <v:fill on="false" detectmouseclick="t"/>
                </v:line>
              </w:pict>
            </w:r>
            <w:r>
              <w:rPr>
                <w:rFonts w:cs="Arial Narrow" w:ascii="Arial Narrow" w:hAnsi="Arial Narrow"/>
                <w:color w:val="333333"/>
                <w:sz w:val="22"/>
                <w:szCs w:val="22"/>
              </w:rPr>
              <w:t>ie Arabeske ist ein schwingendes, zartes Rankenornament mit Blatt- oder Blütenmotiven. Symmetrien und Wiederh</w:t>
            </w:r>
            <w:r>
              <w:rPr>
                <w:rFonts w:cs="Arial Narrow" w:ascii="Arial Narrow" w:hAnsi="Arial Narrow"/>
                <w:color w:val="333333"/>
                <w:sz w:val="22"/>
                <w:szCs w:val="22"/>
              </w:rPr>
              <w:t>o</w:t>
              <w:pict>
                <v:line id="shape_0" from="56.55pt,14.3pt" to="531.1pt,14.3pt" stroked="t" style="position:absolute">
                  <v:stroke color="#ff3366" weight="10800" joinstyle="round" endcap="flat"/>
                  <v:fill on="false" detectmouseclick="t"/>
                </v:line>
              </w:pict>
            </w:r>
            <w:r>
              <w:rPr>
                <w:rFonts w:cs="Arial Narrow" w:ascii="Arial Narrow" w:hAnsi="Arial Narrow"/>
                <w:color w:val="333333"/>
                <w:sz w:val="22"/>
                <w:szCs w:val="22"/>
              </w:rPr>
              <w:t>lungen einzelner Stengel und Gabelblattranken ordnen das scheinbar freie Linienspiel. Als dekoratives Element findet sich die Arabeske im Kunsthandwerk und in der Architektur.</w:t>
            </w:r>
          </w:p>
          <w:p>
            <w:pPr>
              <w:pStyle w:val="TabellenInhalt"/>
              <w:snapToGrid w:val="false"/>
              <w:spacing w:lineRule="auto" w:line="312" w:before="0" w:after="113"/>
              <w:rPr>
                <w:rFonts w:cs="Arial Narrow" w:ascii="Arial Narrow" w:hAnsi="Arial Narrow"/>
                <w:color w:val="333333"/>
                <w:sz w:val="22"/>
                <w:szCs w:val="22"/>
              </w:rPr>
            </w:pPr>
            <w:r>
              <w:rPr>
                <w:rFonts w:cs="Arial Narrow" w:ascii="Arial Narrow" w:hAnsi="Arial Narrow"/>
                <w:color w:val="333333"/>
                <w:sz w:val="22"/>
                <w:szCs w:val="22"/>
              </w:rPr>
              <w:t>In der Kunstgeschichte wird der Begriff unterschiedlich definiert und verwendet. Die Übergänge zur Groteske, die mit fantastischen Mischwesen und Architekturelementen besetzt sein kann, und zur Maureske, deren Blüten und Blätter abstraktere Formen annehmen, sind fließend.</w:t>
            </w:r>
          </w:p>
          <w:p>
            <w:pPr>
              <w:pStyle w:val="TabellenInhalt"/>
              <w:snapToGrid w:val="false"/>
              <w:spacing w:lineRule="auto" w:line="312" w:before="0" w:after="113"/>
              <w:rPr>
                <w:rFonts w:cs="Arial Narrow" w:ascii="Arial Narrow" w:hAnsi="Arial Narrow"/>
                <w:color w:val="333333"/>
                <w:sz w:val="22"/>
                <w:szCs w:val="22"/>
              </w:rPr>
            </w:pPr>
            <w:r>
              <w:rPr>
                <w:rFonts w:cs="Arial Narrow" w:ascii="Arial Narrow" w:hAnsi="Arial Narrow"/>
                <w:color w:val="333333"/>
                <w:sz w:val="22"/>
                <w:szCs w:val="22"/>
              </w:rPr>
              <w:t>I</w:t>
              <w:pict>
                <v:line id="shape_0" from="-0.35pt,117.6pt" to="593.15pt,117.65pt" stroked="t" style="position:absolute;flip:y">
                  <v:stroke color="#ff3366" weight="10800" joinstyle="round" endcap="flat"/>
                  <v:fill on="false" detectmouseclick="t"/>
                </v:line>
              </w:pict>
              <w:pict>
                <v:line id="shape_0" from="82.05pt,45.4pt" to="555.5pt,45.4pt" stroked="t" style="position:absolute">
                  <v:stroke color="#ff3366" weight="10800" joinstyle="round" endcap="flat"/>
                  <v:fill on="false" detectmouseclick="t"/>
                </v:line>
              </w:pict>
              <w:pict>
                <v:line id="shape_0" from="156pt,12.75pt" to="522.45pt,12.75pt" stroked="t" style="position:absolute">
                  <v:stroke color="#ff3366" weight="10800" joinstyle="round" endcap="flat"/>
                  <v:fill on="false" detectmouseclick="t"/>
                </v:line>
              </w:pict>
            </w:r>
            <w:r>
              <w:rPr>
                <w:rFonts w:cs="Arial Narrow" w:ascii="Arial Narrow" w:hAnsi="Arial Narrow"/>
                <w:color w:val="333333"/>
                <w:sz w:val="22"/>
                <w:szCs w:val="22"/>
              </w:rPr>
              <w:t>hren Ursprung hat die Arabeske – wie ihr Name schon andeutet – vermutlich in der islamischen Kunst des 13. Jahr</w:t>
              <w:softHyphen/>
              <w:t>hunderts, wo sich durchkreuzende Ranken Räumlichkeit erzeugen und von Schriftzeichen durchzogen sein können. Über das maurische Spanien, zum Beispiel die Nasridenpaläste der Alhambra, gelangt sie nach Europa. Ausgehend von Norditalien verbreitet sich die Arabeske seit dem frühen 16. Jahrhundert auch durch Musterbücher. Sie dienen als Vorlagen für Stickereien und Keramik. In der Buchkunst dieser Zeit tritt sie häufig als schmückender Rahmen oder Verzierung des Deckels auf.</w:t>
            </w:r>
          </w:p>
          <w:p>
            <w:pPr>
              <w:pStyle w:val="TabellenInhalt"/>
              <w:snapToGrid w:val="false"/>
              <w:spacing w:lineRule="auto" w:line="312" w:before="0" w:after="113"/>
              <w:rPr>
                <w:rFonts w:cs="Arial Narrow" w:ascii="Arial Narrow" w:hAnsi="Arial Narrow"/>
                <w:color w:val="333333"/>
                <w:sz w:val="22"/>
                <w:szCs w:val="22"/>
              </w:rPr>
            </w:pPr>
            <w:r>
              <w:rPr>
                <w:rFonts w:cs="Arial Narrow" w:ascii="Arial Narrow" w:hAnsi="Arial Narrow"/>
                <w:color w:val="333333"/>
                <w:sz w:val="22"/>
                <w:szCs w:val="22"/>
              </w:rPr>
              <w:t>Im 18. Jahrhundert wird der Begriff Arabeske auch auf die bisher als Grotesken bezeichneten Ausschmückungen antiker Innenräume in Rom oder Pompeji übertragen sowie auf die von diesen inspirierten Fresken Raffaels in den Loggien des Vatikans.</w:t>
            </w:r>
          </w:p>
          <w:p>
            <w:pPr>
              <w:pStyle w:val="TabellenInhalt"/>
              <w:snapToGrid w:val="false"/>
              <w:spacing w:lineRule="auto" w:line="312" w:before="0" w:after="113"/>
              <w:rPr>
                <w:rFonts w:cs="Arial Narrow" w:ascii="Arial Narrow" w:hAnsi="Arial Narrow"/>
                <w:color w:val="333333"/>
                <w:sz w:val="22"/>
                <w:szCs w:val="22"/>
              </w:rPr>
            </w:pPr>
            <w:r>
              <w:rPr>
                <w:rFonts w:cs="Arial Narrow" w:ascii="Arial Narrow" w:hAnsi="Arial Narrow"/>
                <w:color w:val="333333"/>
                <w:sz w:val="22"/>
                <w:szCs w:val="22"/>
              </w:rPr>
              <w:t>D</w:t>
              <w:pict>
                <v:line id="shape_0" from="164.9pt,29.4pt" to="616.05pt,30.1pt" stroked="t" style="position:absolute;flip:y">
                  <v:stroke color="#ff3366" weight="10800" joinstyle="round" endcap="flat"/>
                  <v:fill on="false" detectmouseclick="t"/>
                </v:line>
              </w:pict>
            </w:r>
            <w:r>
              <w:rPr>
                <w:rFonts w:cs="Arial Narrow" w:ascii="Arial Narrow" w:hAnsi="Arial Narrow"/>
                <w:color w:val="333333"/>
                <w:sz w:val="22"/>
                <w:szCs w:val="22"/>
              </w:rPr>
              <w:t>ie Arabeske gilt in der Kunst bis 1800 vor allem als dekoratives Beiwerk. Zu Beginn des 19. Jahrhunderts nimmt ihr Stellenwert zu. Nun ebenso als Terminus in der Literatur und Musik verwendet, erweitert sich ihre Bedeutung. Mit der romantischen Arabeske sprengen die Maler des  19. Jahrhunderts die klassische Trennung zwischen Bild und Rahmen. Sie setzen die Arabeske zur Interpretation des Dargestellten ein. Die den Rahmen, jetzt auch mit figürlichen Motiven, durchziehenden Ranken stehen im Bezug zum Innenbild, dessen Inhalt sie steigern, erklären und kommentieren können.</w:t>
            </w:r>
          </w:p>
          <w:p>
            <w:pPr>
              <w:pStyle w:val="TabellenInhalt"/>
              <w:snapToGrid w:val="false"/>
              <w:spacing w:lineRule="auto" w:line="312" w:before="0" w:after="113"/>
              <w:rPr>
                <w:rFonts w:cs="Arial Narrow" w:ascii="Arial Narrow" w:hAnsi="Arial Narrow"/>
                <w:color w:val="333333"/>
                <w:sz w:val="22"/>
                <w:szCs w:val="22"/>
              </w:rPr>
            </w:pPr>
            <w:r>
              <w:rPr>
                <w:rFonts w:cs="Arial Narrow" w:ascii="Arial Narrow" w:hAnsi="Arial Narrow"/>
                <w:color w:val="333333"/>
                <w:sz w:val="22"/>
                <w:szCs w:val="22"/>
              </w:rPr>
              <w:t>A</w:t>
              <w:pict>
                <v:line id="shape_0" from="340.9pt,13.1pt" to="615.5pt,13.15pt" stroked="t" style="position:absolute;flip:y">
                  <v:stroke color="#ff3366" weight="10800" joinstyle="round" endcap="flat"/>
                  <v:fill on="false" detectmouseclick="t"/>
                </v:line>
              </w:pict>
            </w:r>
            <w:r>
              <w:rPr>
                <w:rFonts w:cs="Arial Narrow" w:ascii="Arial Narrow" w:hAnsi="Arial Narrow"/>
                <w:color w:val="333333"/>
                <w:sz w:val="22"/>
                <w:szCs w:val="22"/>
              </w:rPr>
              <w:t>m Ende des Jahrunderts verliert die Arabeske wieder an Gewicht. Das ornamentale Motiv taucht fast nur noch als illustrativer Schmuck von Texten auf, während es im islamischen Kunstkreis nach wie vor ein tragendes Element ist.</w:t>
            </w:r>
          </w:p>
        </w:tc>
        <w:tc>
          <w:tcPr>
            <w:tcW w:w="5000" w:type="dxa"/>
            <w:tcBorders>
              <w:top w:val="nil"/>
              <w:left w:val="nil"/>
              <w:bottom w:val="nil"/>
              <w:insideH w:val="nil"/>
              <w:right w:val="nil"/>
              <w:insideV w:val="nil"/>
            </w:tcBorders>
            <w:shd w:fill="auto" w:val="clear"/>
          </w:tcPr>
          <w:p>
            <w:pPr>
              <w:pStyle w:val="TabellenInhalt"/>
              <w:snapToGrid w:val="false"/>
              <w:spacing w:lineRule="auto" w:line="312" w:before="0" w:after="113"/>
              <w:rPr>
                <w:rFonts w:cs="Arial Narrow" w:ascii="Arial Narrow" w:hAnsi="Arial Narrow"/>
                <w:color w:val="FF3366"/>
                <w:sz w:val="22"/>
                <w:szCs w:val="22"/>
              </w:rPr>
            </w:pPr>
            <w:r>
              <w:rPr>
                <w:rFonts w:cs="Arial Narrow" w:ascii="Arial Narrow" w:hAnsi="Arial Narrow"/>
                <w:color w:val="FF3366"/>
                <w:sz w:val="22"/>
                <w:szCs w:val="22"/>
              </w:rPr>
              <w:t>Begriffsinhalt (Beschreibung)</w:t>
              <w:br/>
              <w:br/>
              <w:t>Begriffsverwendung, -verbreitung</w:t>
            </w:r>
          </w:p>
          <w:p>
            <w:pPr>
              <w:pStyle w:val="TabellenInhalt"/>
              <w:snapToGrid w:val="false"/>
              <w:spacing w:lineRule="auto" w:line="312" w:before="0" w:after="113"/>
              <w:rPr>
                <w:rFonts w:cs="Arial Narrow" w:ascii="Arial Narrow" w:hAnsi="Arial Narrow"/>
                <w:color w:val="FF3366"/>
                <w:sz w:val="22"/>
                <w:szCs w:val="22"/>
              </w:rPr>
            </w:pPr>
            <w:r>
              <w:rPr>
                <w:rFonts w:cs="Arial Narrow" w:ascii="Arial Narrow" w:hAnsi="Arial Narrow"/>
                <w:color w:val="FF3366"/>
                <w:sz w:val="22"/>
                <w:szCs w:val="22"/>
              </w:rPr>
              <w:br/>
              <w:br/>
            </w:r>
          </w:p>
          <w:p>
            <w:pPr>
              <w:pStyle w:val="TabellenInhalt"/>
              <w:snapToGrid w:val="false"/>
              <w:spacing w:lineRule="auto" w:line="312" w:before="0" w:after="113"/>
              <w:rPr>
                <w:rFonts w:cs="Arial Narrow" w:ascii="Arial Narrow" w:hAnsi="Arial Narrow"/>
                <w:color w:val="FF3366"/>
                <w:sz w:val="22"/>
                <w:szCs w:val="22"/>
              </w:rPr>
            </w:pPr>
            <w:r>
              <w:rPr>
                <w:rFonts w:cs="Arial Narrow" w:ascii="Arial Narrow" w:hAnsi="Arial Narrow"/>
                <w:color w:val="FF3366"/>
                <w:sz w:val="22"/>
                <w:szCs w:val="22"/>
              </w:rPr>
              <w:t>Etymologie</w:t>
              <w:br/>
              <w:br/>
              <w:t>Begriffsverbreitung (geografisch)</w:t>
              <w:br/>
              <w:br/>
              <w:t>Begriffsverbreitung (Kunstgattungen)</w:t>
            </w:r>
          </w:p>
          <w:p>
            <w:pPr>
              <w:pStyle w:val="TabellenInhalt"/>
              <w:snapToGrid w:val="false"/>
              <w:spacing w:lineRule="auto" w:line="312" w:before="0" w:after="113"/>
              <w:rPr>
                <w:rFonts w:cs="Arial Narrow" w:ascii="Arial Narrow" w:hAnsi="Arial Narrow"/>
                <w:color w:val="FF3366"/>
                <w:sz w:val="22"/>
                <w:szCs w:val="22"/>
              </w:rPr>
            </w:pPr>
            <w:r>
              <w:rPr>
                <w:rFonts w:cs="Arial Narrow" w:ascii="Arial Narrow" w:hAnsi="Arial Narrow"/>
                <w:color w:val="FF3366"/>
                <w:sz w:val="22"/>
                <w:szCs w:val="22"/>
              </w:rPr>
              <w:br/>
              <w:t>historische Begriffswandlung</w:t>
              <w:br/>
              <w:br/>
            </w:r>
          </w:p>
          <w:p>
            <w:pPr>
              <w:pStyle w:val="TabellenInhalt"/>
              <w:snapToGrid w:val="false"/>
              <w:spacing w:lineRule="auto" w:line="312" w:before="0" w:after="113"/>
              <w:rPr>
                <w:rFonts w:cs="Arial Narrow" w:ascii="Arial Narrow" w:hAnsi="Arial Narrow"/>
                <w:color w:val="FF3366"/>
                <w:sz w:val="22"/>
                <w:szCs w:val="22"/>
              </w:rPr>
            </w:pPr>
            <w:r>
              <w:rPr>
                <w:rFonts w:cs="Arial Narrow" w:ascii="Arial Narrow" w:hAnsi="Arial Narrow"/>
                <w:color w:val="FF3366"/>
                <w:sz w:val="22"/>
                <w:szCs w:val="22"/>
              </w:rPr>
              <w:br/>
              <w:t>Erweiterung des Begriffsinhalts</w:t>
            </w:r>
          </w:p>
          <w:p>
            <w:pPr>
              <w:pStyle w:val="TabellenInhalt"/>
              <w:snapToGrid w:val="false"/>
              <w:spacing w:lineRule="auto" w:line="312" w:before="0" w:after="113"/>
              <w:rPr>
                <w:rFonts w:cs="Arial Narrow" w:ascii="Arial Narrow" w:hAnsi="Arial Narrow"/>
                <w:color w:val="FF3366"/>
                <w:sz w:val="22"/>
                <w:szCs w:val="22"/>
              </w:rPr>
            </w:pPr>
            <w:r>
              <w:rPr>
                <w:rFonts w:cs="Arial Narrow" w:ascii="Arial Narrow" w:hAnsi="Arial Narrow"/>
                <w:color w:val="FF3366"/>
                <w:sz w:val="22"/>
                <w:szCs w:val="22"/>
              </w:rPr>
              <w:br/>
              <w:br/>
              <w:br/>
              <w:br/>
              <w:t>heute seltene Begriffsverwendung</w:t>
            </w:r>
          </w:p>
        </w:tc>
      </w:tr>
    </w:tbl>
    <w:p>
      <w:pPr>
        <w:pStyle w:val="Normal"/>
        <w:spacing w:lineRule="auto" w:line="312" w:before="0" w:after="113"/>
        <w:rPr>
          <w:rFonts w:cs="Arial Narrow" w:ascii="Arial Narrow" w:hAnsi="Arial Narrow"/>
          <w:color w:val="333333"/>
          <w:sz w:val="22"/>
          <w:szCs w:val="22"/>
        </w:rPr>
      </w:pPr>
      <w:r>
        <w:rPr>
          <w:rFonts w:cs="Arial Narrow" w:ascii="Arial Narrow" w:hAnsi="Arial Narrow"/>
          <w:color w:val="333333"/>
          <w:sz w:val="22"/>
          <w:szCs w:val="22"/>
        </w:rPr>
      </w:r>
    </w:p>
    <w:sectPr>
      <w:type w:val="nextPage"/>
      <w:pgSz w:orient="landscape" w:w="16838" w:h="11906"/>
      <w:pgMar w:left="1134" w:right="1134" w:header="0" w:top="567" w:footer="0" w:bottom="56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kkurat-Light">
    <w:charset w:val="01"/>
    <w:family w:val="auto"/>
    <w:pitch w:val="default"/>
  </w:font>
  <w:font w:name="Arial Narrow">
    <w:charset w:val="01"/>
    <w:family w:val="swiss"/>
    <w:pitch w:val="variable"/>
  </w:font>
</w:fonts>
</file>

<file path=word/settings.xml><?xml version="1.0" encoding="utf-8"?>
<w:settings xmlns:w="http://schemas.openxmlformats.org/wordprocessingml/2006/main">
  <w:zoom w:percent="26"/>
  <w:displayBackgroundShape/>
  <w:defaultTabStop w:val="709"/>
</w:settings>
</file>

<file path=word/styles.xml><?xml version="1.0" encoding="utf-8"?>
<w:styles xmlns:w="http://schemas.openxmlformats.org/wordprocessingml/2006/main">
  <w:docDefaults>
    <w:rPrDefault>
      <w:rPr>
        <w:rFonts w:ascii="Akkurat-Light" w:hAnsi="Akkurat-Light" w:eastAsia="Arial Unicode MS" w:cs="Lucida Sans"/>
        <w:sz w:val="22"/>
        <w:szCs w:val="24"/>
        <w:lang w:val="de-DE" w:eastAsia="zh-CN" w:bidi="hi-IN"/>
      </w:rPr>
    </w:rPrDefault>
    <w:pPrDefault>
      <w:pPr/>
    </w:pPrDefault>
  </w:docDefaults>
  <w:style w:type="paragraph" w:styleId="Normal">
    <w:name w:val="Normal"/>
    <w:pPr>
      <w:widowControl w:val="false"/>
      <w:suppressAutoHyphens w:val="true"/>
      <w:bidi w:val="0"/>
    </w:pPr>
    <w:rPr>
      <w:rFonts w:ascii="Akkurat-Light" w:hAnsi="Akkurat-Light" w:eastAsia="Arial Unicode MS" w:cs="Lucida Sans"/>
      <w:color w:val="auto"/>
      <w:sz w:val="22"/>
      <w:szCs w:val="24"/>
      <w:lang w:val="de-DE" w:eastAsia="zh-CN" w:bidi="hi-IN"/>
    </w:rPr>
  </w:style>
  <w:style w:type="character" w:styleId="Internetlink">
    <w:name w:val="Internetlink"/>
    <w:rPr>
      <w:color w:val="000080"/>
      <w:u w:val="single"/>
      <w:lang w:val="zxx" w:eastAsia="zxx" w:bidi="zxx"/>
    </w:rPr>
  </w:style>
  <w:style w:type="paragraph" w:styleId="Berschrift">
    <w:name w:val="Überschrift"/>
    <w:basedOn w:val="Normal"/>
    <w:next w:val="Textkrper"/>
    <w:pPr>
      <w:keepNext/>
      <w:spacing w:before="240" w:after="120"/>
    </w:pPr>
    <w:rPr>
      <w:rFonts w:ascii="Akkurat-Light" w:hAnsi="Akkurat-Light" w:eastAsia="Arial Unicode MS" w:cs="Lucida Sans"/>
      <w:sz w:val="22"/>
      <w:szCs w:val="28"/>
    </w:rPr>
  </w:style>
  <w:style w:type="paragraph" w:styleId="Textkrper">
    <w:name w:val="Textkörper"/>
    <w:basedOn w:val="Normal"/>
    <w:pPr>
      <w:spacing w:lineRule="auto" w:line="288" w:before="0" w:after="140"/>
    </w:pPr>
    <w:rPr/>
  </w:style>
  <w:style w:type="paragraph" w:styleId="Liste">
    <w:name w:val="Liste"/>
    <w:basedOn w:val="Textkrper"/>
    <w:pPr/>
    <w:rPr>
      <w:rFonts w:ascii="Akkurat-Light" w:hAnsi="Akkurat-Light" w:cs="Lucida Sans"/>
    </w:rPr>
  </w:style>
  <w:style w:type="paragraph" w:styleId="Beschriftung">
    <w:name w:val="Beschriftung"/>
    <w:basedOn w:val="Normal"/>
    <w:pPr>
      <w:suppressLineNumbers/>
      <w:spacing w:before="120" w:after="120"/>
    </w:pPr>
    <w:rPr>
      <w:rFonts w:ascii="Akkurat-Light" w:hAnsi="Akkurat-Light" w:cs="Lucida Sans"/>
      <w:i/>
      <w:iCs/>
      <w:sz w:val="22"/>
      <w:szCs w:val="24"/>
    </w:rPr>
  </w:style>
  <w:style w:type="paragraph" w:styleId="Verzeichnis">
    <w:name w:val="Verzeichnis"/>
    <w:basedOn w:val="Normal"/>
    <w:pPr>
      <w:suppressLineNumbers/>
    </w:pPr>
    <w:rPr>
      <w:rFonts w:ascii="Akkurat-Light" w:hAnsi="Akkurat-Light" w:cs="Lucida Sans"/>
    </w:rPr>
  </w:style>
  <w:style w:type="paragraph" w:styleId="TabellenInhalt">
    <w:name w:val="Tabellen Inhalt"/>
    <w:basedOn w:val="Normal"/>
    <w:pPr>
      <w:suppressLineNumbers/>
    </w:pPr>
    <w:rPr/>
  </w:style>
  <w:style w:type="paragraph" w:styleId="Tabellenberschrift">
    <w:name w:val="Tabellen Überschrift"/>
    <w:basedOn w:val="TabellenInhal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988304</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2018-02-10T17:42:43Z</dcterms:created>
  <dc:language>de-DE</dc:language>
  <cp:revision>0</cp:revision>
</cp:coreProperties>
</file>